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635B" w:rsidRDefault="00F9635B" w:rsidP="00854557">
      <w:pPr>
        <w:tabs>
          <w:tab w:val="left" w:pos="720"/>
          <w:tab w:val="left" w:pos="1267"/>
          <w:tab w:val="left" w:pos="1886"/>
          <w:tab w:val="left" w:pos="2434"/>
          <w:tab w:val="left" w:pos="2880"/>
        </w:tabs>
        <w:jc w:val="center"/>
      </w:pPr>
      <w:r>
        <w:t>**          USE THIS SPECIFICATION ON PROJECTS INVOLVING BORROW,         **</w:t>
      </w:r>
    </w:p>
    <w:p w:rsidR="00F9635B" w:rsidRDefault="008A15A5" w:rsidP="00854557">
      <w:pPr>
        <w:tabs>
          <w:tab w:val="left" w:pos="720"/>
          <w:tab w:val="left" w:pos="1267"/>
          <w:tab w:val="left" w:pos="1886"/>
          <w:tab w:val="left" w:pos="2434"/>
          <w:tab w:val="left" w:pos="2880"/>
        </w:tabs>
        <w:jc w:val="center"/>
      </w:pPr>
      <w:r>
        <w:t xml:space="preserve">**         </w:t>
      </w:r>
      <w:bookmarkStart w:id="0" w:name="_GoBack"/>
      <w:bookmarkEnd w:id="0"/>
      <w:r w:rsidR="00F9635B">
        <w:t>SUBBASE, BASE, MATERIALS FOR CONCRETE STRUCTURES, AND   **</w:t>
      </w:r>
    </w:p>
    <w:p w:rsidR="00F9635B" w:rsidRDefault="00F9635B" w:rsidP="00854557">
      <w:pPr>
        <w:tabs>
          <w:tab w:val="left" w:pos="720"/>
          <w:tab w:val="left" w:pos="1267"/>
          <w:tab w:val="left" w:pos="1886"/>
          <w:tab w:val="left" w:pos="2434"/>
          <w:tab w:val="left" w:pos="2880"/>
        </w:tabs>
        <w:jc w:val="center"/>
      </w:pPr>
      <w:r>
        <w:t>**            SURFACING MATERIALS.                                                                          **</w:t>
      </w:r>
    </w:p>
    <w:p w:rsidR="00F9635B" w:rsidRDefault="00F9635B" w:rsidP="00854557">
      <w:pPr>
        <w:tabs>
          <w:tab w:val="left" w:pos="720"/>
          <w:tab w:val="left" w:pos="1267"/>
          <w:tab w:val="left" w:pos="1886"/>
          <w:tab w:val="left" w:pos="2434"/>
          <w:tab w:val="left" w:pos="2880"/>
        </w:tabs>
        <w:jc w:val="center"/>
      </w:pPr>
    </w:p>
    <w:p w:rsidR="00F9635B" w:rsidRDefault="00F9635B" w:rsidP="00854557">
      <w:pPr>
        <w:tabs>
          <w:tab w:val="left" w:pos="720"/>
          <w:tab w:val="left" w:pos="1267"/>
          <w:tab w:val="left" w:pos="1886"/>
          <w:tab w:val="left" w:pos="2434"/>
          <w:tab w:val="left" w:pos="2880"/>
        </w:tabs>
        <w:jc w:val="center"/>
      </w:pPr>
      <w:r>
        <w:t>**         USE IN CONJUNCTION WITH STORED SPECIFICATION 1001MATL.        **</w:t>
      </w:r>
    </w:p>
    <w:p w:rsidR="00F9635B" w:rsidRDefault="00F9635B">
      <w:pPr>
        <w:tabs>
          <w:tab w:val="left" w:pos="720"/>
          <w:tab w:val="left" w:pos="1267"/>
          <w:tab w:val="left" w:pos="1886"/>
          <w:tab w:val="left" w:pos="2434"/>
          <w:tab w:val="left" w:pos="2880"/>
        </w:tabs>
        <w:jc w:val="both"/>
      </w:pPr>
    </w:p>
    <w:p w:rsidR="00F9635B" w:rsidRDefault="00F9635B">
      <w:pPr>
        <w:tabs>
          <w:tab w:val="left" w:pos="720"/>
          <w:tab w:val="left" w:pos="1267"/>
          <w:tab w:val="left" w:pos="1886"/>
          <w:tab w:val="left" w:pos="2434"/>
          <w:tab w:val="left" w:pos="2880"/>
        </w:tabs>
        <w:jc w:val="right"/>
        <w:rPr>
          <w:b/>
          <w:bCs/>
        </w:rPr>
      </w:pPr>
      <w:r>
        <w:rPr>
          <w:b/>
          <w:bCs/>
        </w:rPr>
        <w:t xml:space="preserve">(104ENVIR, </w:t>
      </w:r>
      <w:r w:rsidR="00197E6E">
        <w:rPr>
          <w:b/>
          <w:bCs/>
        </w:rPr>
        <w:t>0</w:t>
      </w:r>
      <w:r w:rsidR="00B111BC">
        <w:rPr>
          <w:b/>
          <w:bCs/>
        </w:rPr>
        <w:t>6</w:t>
      </w:r>
      <w:r w:rsidR="00197E6E">
        <w:rPr>
          <w:b/>
          <w:bCs/>
        </w:rPr>
        <w:t>/1</w:t>
      </w:r>
      <w:r w:rsidR="00B111BC">
        <w:rPr>
          <w:b/>
          <w:bCs/>
        </w:rPr>
        <w:t>7</w:t>
      </w:r>
      <w:r w:rsidR="000D4784">
        <w:rPr>
          <w:b/>
          <w:bCs/>
        </w:rPr>
        <w:t>/</w:t>
      </w:r>
      <w:r w:rsidR="00D50613">
        <w:rPr>
          <w:b/>
          <w:bCs/>
        </w:rPr>
        <w:t>21</w:t>
      </w:r>
      <w:r>
        <w:rPr>
          <w:b/>
          <w:bCs/>
        </w:rPr>
        <w:t>)</w:t>
      </w:r>
    </w:p>
    <w:p w:rsidR="00F9635B" w:rsidRDefault="00F9635B">
      <w:pPr>
        <w:tabs>
          <w:tab w:val="left" w:pos="720"/>
          <w:tab w:val="left" w:pos="1267"/>
          <w:tab w:val="left" w:pos="1886"/>
          <w:tab w:val="left" w:pos="2434"/>
          <w:tab w:val="left" w:pos="2880"/>
        </w:tabs>
        <w:jc w:val="both"/>
      </w:pPr>
    </w:p>
    <w:p w:rsidR="00F9635B" w:rsidRPr="00DC0F3E" w:rsidRDefault="001042F0">
      <w:pPr>
        <w:tabs>
          <w:tab w:val="left" w:pos="720"/>
          <w:tab w:val="left" w:pos="1267"/>
          <w:tab w:val="left" w:pos="1886"/>
          <w:tab w:val="left" w:pos="2434"/>
          <w:tab w:val="left" w:pos="2880"/>
        </w:tabs>
        <w:jc w:val="both"/>
        <w:rPr>
          <w:b/>
          <w:bCs/>
        </w:rPr>
      </w:pPr>
      <w:r>
        <w:rPr>
          <w:b/>
          <w:bCs/>
        </w:rPr>
        <w:t>SECTION 104</w:t>
      </w:r>
      <w:r w:rsidR="00F9635B">
        <w:rPr>
          <w:b/>
          <w:bCs/>
        </w:rPr>
        <w:tab/>
        <w:t>SCOPE OF WORK:</w:t>
      </w:r>
    </w:p>
    <w:p w:rsidR="00F9635B" w:rsidRPr="00DC0F3E" w:rsidRDefault="008863B1">
      <w:pPr>
        <w:tabs>
          <w:tab w:val="left" w:pos="720"/>
          <w:tab w:val="left" w:pos="1267"/>
          <w:tab w:val="left" w:pos="1886"/>
          <w:tab w:val="left" w:pos="2434"/>
          <w:tab w:val="left" w:pos="2880"/>
        </w:tabs>
        <w:jc w:val="both"/>
      </w:pPr>
      <w:r>
        <w:t xml:space="preserve"> </w:t>
      </w:r>
    </w:p>
    <w:p w:rsidR="00F9635B" w:rsidRPr="00DC0F3E" w:rsidRDefault="00F9635B" w:rsidP="001E2917">
      <w:pPr>
        <w:tabs>
          <w:tab w:val="left" w:pos="720"/>
          <w:tab w:val="left" w:pos="1267"/>
          <w:tab w:val="left" w:pos="1886"/>
          <w:tab w:val="left" w:pos="2434"/>
          <w:tab w:val="left" w:pos="2880"/>
        </w:tabs>
        <w:ind w:left="1886" w:hanging="1886"/>
        <w:jc w:val="both"/>
      </w:pPr>
      <w:r w:rsidRPr="00DC0F3E">
        <w:rPr>
          <w:b/>
          <w:bCs/>
        </w:rPr>
        <w:t>104.12</w:t>
      </w:r>
      <w:r w:rsidRPr="00DC0F3E">
        <w:tab/>
      </w:r>
      <w:r w:rsidRPr="00DC0F3E">
        <w:tab/>
      </w:r>
      <w:r w:rsidRPr="00DC0F3E">
        <w:rPr>
          <w:b/>
          <w:bCs/>
        </w:rPr>
        <w:t>Environmental Analysis:</w:t>
      </w:r>
      <w:r w:rsidRPr="00DC0F3E">
        <w:t xml:space="preserve">  </w:t>
      </w:r>
      <w:r w:rsidR="00197E6E">
        <w:t xml:space="preserve">the fifth and sixth paragraphs </w:t>
      </w:r>
      <w:r w:rsidRPr="00DC0F3E">
        <w:t>o</w:t>
      </w:r>
      <w:r w:rsidR="008863B1">
        <w:t>f the Standard Specifications are</w:t>
      </w:r>
      <w:r w:rsidRPr="00DC0F3E">
        <w:t xml:space="preserve"> revised to read:</w:t>
      </w:r>
    </w:p>
    <w:p w:rsidR="00F9635B" w:rsidRDefault="00F9635B" w:rsidP="001E2917">
      <w:pPr>
        <w:tabs>
          <w:tab w:val="left" w:pos="720"/>
          <w:tab w:val="left" w:pos="1267"/>
          <w:tab w:val="left" w:pos="1886"/>
          <w:tab w:val="left" w:pos="2434"/>
          <w:tab w:val="left" w:pos="2880"/>
        </w:tabs>
        <w:jc w:val="both"/>
        <w:rPr>
          <w:rFonts w:cs="Arial"/>
        </w:rPr>
      </w:pPr>
    </w:p>
    <w:p w:rsidR="000D4784" w:rsidRDefault="000D4784" w:rsidP="000D4784">
      <w:pPr>
        <w:tabs>
          <w:tab w:val="left" w:pos="720"/>
          <w:tab w:val="left" w:pos="1267"/>
          <w:tab w:val="left" w:pos="1886"/>
          <w:tab w:val="left" w:pos="2434"/>
          <w:tab w:val="left" w:pos="2880"/>
        </w:tabs>
        <w:jc w:val="both"/>
        <w:rPr>
          <w:rFonts w:cs="Arial"/>
        </w:rPr>
      </w:pPr>
      <w:r>
        <w:rPr>
          <w:rFonts w:cs="Arial"/>
        </w:rPr>
        <w:t xml:space="preserve">If the contractor elects to do an environmental analysis and use any site, source, or access for the reasons listed above, </w:t>
      </w:r>
      <w:r w:rsidR="0064555A">
        <w:rPr>
          <w:rFonts w:cs="Arial"/>
        </w:rPr>
        <w:t>the</w:t>
      </w:r>
      <w:r w:rsidR="00E0252F">
        <w:rPr>
          <w:rFonts w:cs="Arial"/>
        </w:rPr>
        <w:t>y</w:t>
      </w:r>
      <w:r>
        <w:rPr>
          <w:rFonts w:cs="Arial"/>
        </w:rPr>
        <w:t xml:space="preserve"> choose to do so at </w:t>
      </w:r>
      <w:r w:rsidR="00E0252F">
        <w:rPr>
          <w:rFonts w:cs="Arial"/>
        </w:rPr>
        <w:t>their</w:t>
      </w:r>
      <w:r>
        <w:rPr>
          <w:rFonts w:cs="Arial"/>
        </w:rPr>
        <w:t xml:space="preserve"> own risk. It is the contractor’s responsibility to exercise due diligence when selecting these sites and areas. The contractor shall b</w:t>
      </w:r>
      <w:r w:rsidR="003C66FE">
        <w:rPr>
          <w:rFonts w:cs="Arial"/>
        </w:rPr>
        <w:t>ear</w:t>
      </w:r>
      <w:r>
        <w:rPr>
          <w:rFonts w:cs="Arial"/>
        </w:rPr>
        <w:t xml:space="preserve"> all costs associated with the use of proposed sites, sources, and accesses. </w:t>
      </w:r>
    </w:p>
    <w:p w:rsidR="000D4784" w:rsidRPr="00DC0F3E" w:rsidRDefault="000D4784" w:rsidP="001E2917">
      <w:pPr>
        <w:tabs>
          <w:tab w:val="left" w:pos="720"/>
          <w:tab w:val="left" w:pos="1267"/>
          <w:tab w:val="left" w:pos="1886"/>
          <w:tab w:val="left" w:pos="2434"/>
          <w:tab w:val="left" w:pos="2880"/>
        </w:tabs>
        <w:jc w:val="both"/>
        <w:rPr>
          <w:rFonts w:cs="Arial"/>
        </w:rPr>
      </w:pPr>
    </w:p>
    <w:p w:rsidR="00F9635B" w:rsidRPr="00DC0F3E" w:rsidRDefault="00F9635B" w:rsidP="001E2917">
      <w:pPr>
        <w:tabs>
          <w:tab w:val="left" w:pos="720"/>
          <w:tab w:val="left" w:pos="1267"/>
          <w:tab w:val="left" w:pos="1886"/>
          <w:tab w:val="left" w:pos="2434"/>
          <w:tab w:val="left" w:pos="2880"/>
        </w:tabs>
        <w:jc w:val="both"/>
        <w:rPr>
          <w:rFonts w:cs="Arial"/>
        </w:rPr>
      </w:pPr>
      <w:r w:rsidRPr="00DC0F3E">
        <w:rPr>
          <w:rFonts w:cs="Arial"/>
        </w:rPr>
        <w:t>The contractor shall promptly advise the Engineer that it is preparing the environmental analysis and shall submit</w:t>
      </w:r>
      <w:r w:rsidR="00761E74">
        <w:rPr>
          <w:rFonts w:cs="Arial"/>
        </w:rPr>
        <w:t xml:space="preserve"> </w:t>
      </w:r>
      <w:r w:rsidR="000D4784">
        <w:rPr>
          <w:rFonts w:cs="Arial"/>
        </w:rPr>
        <w:t>to the Engineer for review and consultation</w:t>
      </w:r>
      <w:r w:rsidRPr="00DC0F3E">
        <w:rPr>
          <w:rFonts w:cs="Arial"/>
        </w:rPr>
        <w:t xml:space="preserve">.   </w:t>
      </w:r>
      <w:r w:rsidR="000D4784">
        <w:rPr>
          <w:rFonts w:cs="Arial"/>
        </w:rPr>
        <w:t>The Department wi</w:t>
      </w:r>
      <w:r w:rsidR="00E30FB9">
        <w:rPr>
          <w:rFonts w:cs="Arial"/>
        </w:rPr>
        <w:t>ll review the submittal and send</w:t>
      </w:r>
      <w:r w:rsidR="000D4784">
        <w:rPr>
          <w:rFonts w:cs="Arial"/>
        </w:rPr>
        <w:t xml:space="preserve"> it to the ap</w:t>
      </w:r>
      <w:r w:rsidR="00E30FB9">
        <w:rPr>
          <w:rFonts w:cs="Arial"/>
        </w:rPr>
        <w:t>propriate agencies and/or jurisd</w:t>
      </w:r>
      <w:r w:rsidR="000D4784">
        <w:rPr>
          <w:rFonts w:cs="Arial"/>
        </w:rPr>
        <w:t xml:space="preserve">ictions for consultation or return it to the contractor for revision. </w:t>
      </w:r>
      <w:r w:rsidRPr="00DC0F3E">
        <w:rPr>
          <w:rFonts w:cs="Arial"/>
        </w:rPr>
        <w:t xml:space="preserve">The contractor shall allow a minimum of </w:t>
      </w:r>
      <w:r w:rsidR="000D4784">
        <w:rPr>
          <w:rFonts w:cs="Arial"/>
        </w:rPr>
        <w:t>60</w:t>
      </w:r>
      <w:r w:rsidRPr="00DC0F3E">
        <w:rPr>
          <w:rFonts w:cs="Arial"/>
        </w:rPr>
        <w:t xml:space="preserve"> calendar days after submittal, or subsequent resubmittal</w:t>
      </w:r>
      <w:r w:rsidR="000D4784">
        <w:rPr>
          <w:rFonts w:cs="Arial"/>
        </w:rPr>
        <w:t>s</w:t>
      </w:r>
      <w:r w:rsidRPr="00DC0F3E">
        <w:rPr>
          <w:rFonts w:cs="Arial"/>
        </w:rPr>
        <w:t>, to the Department for the Department to review the environmental analysis and to consult with the appropriate jurisdictions and/or agencies.  At the end of the review period, the Engineer will notify the contractor whether or not the environmental analysis is acceptable.</w:t>
      </w:r>
    </w:p>
    <w:p w:rsidR="00F9635B" w:rsidRPr="00DC0F3E" w:rsidRDefault="00F9635B" w:rsidP="001E2917">
      <w:pPr>
        <w:tabs>
          <w:tab w:val="left" w:pos="720"/>
          <w:tab w:val="left" w:pos="1267"/>
          <w:tab w:val="left" w:pos="1886"/>
          <w:tab w:val="left" w:pos="2434"/>
          <w:tab w:val="left" w:pos="2880"/>
        </w:tabs>
        <w:jc w:val="both"/>
        <w:rPr>
          <w:rFonts w:cs="Arial"/>
        </w:rPr>
      </w:pPr>
    </w:p>
    <w:p w:rsidR="00F9635B" w:rsidRPr="00DC0F3E" w:rsidRDefault="00F9635B" w:rsidP="001E2917">
      <w:pPr>
        <w:tabs>
          <w:tab w:val="left" w:pos="720"/>
          <w:tab w:val="left" w:pos="1267"/>
          <w:tab w:val="left" w:pos="1886"/>
          <w:tab w:val="left" w:pos="2434"/>
          <w:tab w:val="left" w:pos="2880"/>
        </w:tabs>
        <w:jc w:val="both"/>
        <w:rPr>
          <w:rFonts w:cs="Arial"/>
        </w:rPr>
      </w:pPr>
      <w:r w:rsidRPr="00DC0F3E">
        <w:rPr>
          <w:rFonts w:cs="Arial"/>
        </w:rPr>
        <w:t>If the approval of the environmental analysis causes a delay to a controlling activity of the project</w:t>
      </w:r>
      <w:r w:rsidR="000D4784">
        <w:rPr>
          <w:rFonts w:cs="Arial"/>
        </w:rPr>
        <w:t xml:space="preserve"> due to the Department’s actions in the aforementioned review process</w:t>
      </w:r>
      <w:r w:rsidRPr="00DC0F3E">
        <w:rPr>
          <w:rFonts w:cs="Arial"/>
        </w:rPr>
        <w:t>, the contractor may seek, and the Engineer may grant, an extension of time in accordance with the terms of Subsection 108.08</w:t>
      </w:r>
      <w:r w:rsidR="000D4784">
        <w:rPr>
          <w:rFonts w:cs="Arial"/>
        </w:rPr>
        <w:t xml:space="preserve"> of the specifications</w:t>
      </w:r>
      <w:r w:rsidRPr="00DC0F3E">
        <w:rPr>
          <w:rFonts w:cs="Arial"/>
        </w:rPr>
        <w:t>.  The time extension shall not exceed 30 working days for a working-day contract, or 45 calendar days for a calendar-day project.  The time extension will not be considered unless the contractor can show evidence</w:t>
      </w:r>
      <w:r w:rsidR="000D4784">
        <w:rPr>
          <w:rFonts w:cs="Arial"/>
        </w:rPr>
        <w:t xml:space="preserve"> of the delay resulting due to the Department’s actions in the review process</w:t>
      </w:r>
      <w:r w:rsidRPr="00DC0F3E">
        <w:rPr>
          <w:rFonts w:cs="Arial"/>
        </w:rPr>
        <w:t xml:space="preserve">. </w:t>
      </w:r>
      <w:r w:rsidR="000D4784">
        <w:rPr>
          <w:rFonts w:cs="Arial"/>
        </w:rPr>
        <w:t>A time extension request will not be considered or granted for any other reason.</w:t>
      </w:r>
      <w:r w:rsidRPr="00DC0F3E">
        <w:rPr>
          <w:rFonts w:cs="Arial"/>
        </w:rPr>
        <w:t xml:space="preserve"> No time extension will be granted for a fixed completion date contract.</w:t>
      </w:r>
    </w:p>
    <w:p w:rsidR="00197E6E" w:rsidRPr="00DC0F3E" w:rsidRDefault="00197E6E" w:rsidP="00197E6E">
      <w:pPr>
        <w:tabs>
          <w:tab w:val="left" w:pos="720"/>
          <w:tab w:val="left" w:pos="1267"/>
          <w:tab w:val="left" w:pos="1886"/>
          <w:tab w:val="left" w:pos="2434"/>
          <w:tab w:val="left" w:pos="2880"/>
        </w:tabs>
        <w:jc w:val="both"/>
      </w:pPr>
    </w:p>
    <w:p w:rsidR="00197E6E" w:rsidRPr="00DC0F3E" w:rsidRDefault="00197E6E" w:rsidP="00197E6E">
      <w:pPr>
        <w:tabs>
          <w:tab w:val="left" w:pos="720"/>
          <w:tab w:val="left" w:pos="1267"/>
          <w:tab w:val="left" w:pos="1886"/>
          <w:tab w:val="left" w:pos="2434"/>
          <w:tab w:val="left" w:pos="2880"/>
        </w:tabs>
        <w:ind w:left="1886" w:hanging="1886"/>
        <w:jc w:val="both"/>
      </w:pPr>
      <w:r w:rsidRPr="00DC0F3E">
        <w:rPr>
          <w:b/>
          <w:bCs/>
        </w:rPr>
        <w:t>104.12</w:t>
      </w:r>
      <w:r w:rsidRPr="00DC0F3E">
        <w:tab/>
      </w:r>
      <w:r w:rsidRPr="00DC0F3E">
        <w:tab/>
      </w:r>
      <w:r w:rsidRPr="00DC0F3E">
        <w:rPr>
          <w:b/>
          <w:bCs/>
        </w:rPr>
        <w:t>Environmental Analysis:</w:t>
      </w:r>
      <w:r w:rsidRPr="00DC0F3E">
        <w:t xml:space="preserve">  </w:t>
      </w:r>
      <w:r>
        <w:t>the items (</w:t>
      </w:r>
      <w:r w:rsidR="00834DBA">
        <w:t>G</w:t>
      </w:r>
      <w:r>
        <w:t>) and (</w:t>
      </w:r>
      <w:r w:rsidR="008E5AFA">
        <w:t>O</w:t>
      </w:r>
      <w:r>
        <w:t xml:space="preserve">) of the seventh </w:t>
      </w:r>
      <w:r w:rsidR="00834DBA">
        <w:t>para</w:t>
      </w:r>
      <w:r>
        <w:t xml:space="preserve">graph </w:t>
      </w:r>
      <w:r w:rsidRPr="00DC0F3E">
        <w:t>of the Standard Specifications is revised to read:</w:t>
      </w:r>
    </w:p>
    <w:p w:rsidR="00F9635B" w:rsidRDefault="00F9635B" w:rsidP="001E2917">
      <w:pPr>
        <w:tabs>
          <w:tab w:val="left" w:pos="720"/>
          <w:tab w:val="left" w:pos="1267"/>
          <w:tab w:val="left" w:pos="1886"/>
          <w:tab w:val="left" w:pos="2434"/>
          <w:tab w:val="left" w:pos="2880"/>
        </w:tabs>
        <w:jc w:val="both"/>
        <w:rPr>
          <w:rFonts w:cs="Arial"/>
        </w:rPr>
      </w:pPr>
    </w:p>
    <w:p w:rsidR="00C52CB8" w:rsidRPr="00302E7B" w:rsidRDefault="00F9635B" w:rsidP="001E2917">
      <w:pPr>
        <w:tabs>
          <w:tab w:val="left" w:pos="720"/>
          <w:tab w:val="left" w:pos="1267"/>
          <w:tab w:val="left" w:pos="1886"/>
          <w:tab w:val="left" w:pos="2434"/>
          <w:tab w:val="left" w:pos="2880"/>
        </w:tabs>
        <w:ind w:left="1886" w:hanging="1886"/>
        <w:jc w:val="both"/>
        <w:rPr>
          <w:rFonts w:cs="Arial"/>
        </w:rPr>
      </w:pPr>
      <w:r>
        <w:rPr>
          <w:rFonts w:cs="Arial"/>
        </w:rPr>
        <w:tab/>
      </w:r>
      <w:r w:rsidR="00DC0F3E">
        <w:rPr>
          <w:rFonts w:cs="Arial"/>
        </w:rPr>
        <w:tab/>
      </w:r>
      <w:r w:rsidRPr="00302E7B">
        <w:rPr>
          <w:rFonts w:cs="Arial"/>
        </w:rPr>
        <w:t>(</w:t>
      </w:r>
      <w:r w:rsidR="00171747">
        <w:rPr>
          <w:rFonts w:cs="Arial"/>
        </w:rPr>
        <w:t>G</w:t>
      </w:r>
      <w:r w:rsidRPr="00302E7B">
        <w:rPr>
          <w:rFonts w:cs="Arial"/>
        </w:rPr>
        <w:t>)</w:t>
      </w:r>
      <w:r w:rsidRPr="00302E7B">
        <w:rPr>
          <w:rFonts w:cs="Arial"/>
        </w:rPr>
        <w:tab/>
      </w:r>
      <w:r w:rsidR="00C52CB8" w:rsidRPr="00302E7B">
        <w:t>The archaeological survey of the proposed source prepared by a person who meets the Secretary of the Interior's Professional Qualification Standards (48 FR 44716) and possesses a current permit for archaeological survey issued by the Arizona State Museum (ASM).  The survey shall be prepared in a State Historic Preservation Office</w:t>
      </w:r>
      <w:r w:rsidR="000D4784">
        <w:t xml:space="preserve"> (SHPO)</w:t>
      </w:r>
      <w:r w:rsidR="00C52CB8" w:rsidRPr="00302E7B">
        <w:t xml:space="preserve"> standardized format.  The survey shall identify all historic properties within </w:t>
      </w:r>
      <w:r w:rsidR="00C52CB8" w:rsidRPr="00302E7B">
        <w:lastRenderedPageBreak/>
        <w:t xml:space="preserve">the area of potential effect (APE), as defined by the National Historic Preservation Act (36 CFR 800.4). </w:t>
      </w:r>
      <w:r w:rsidR="00302E7B" w:rsidRPr="00302E7B">
        <w:t xml:space="preserve"> </w:t>
      </w:r>
      <w:r w:rsidR="00C52CB8" w:rsidRPr="00302E7B">
        <w:t>This includes the materials source, processing area, and the haul road.  Additionally, the survey report shall identify the effects of the proposed source on any historic properties within the APE, and recommend measures to avoid, minimize, or mitigate those effects.</w:t>
      </w:r>
      <w:r w:rsidR="00E30FB9">
        <w:t xml:space="preserve"> </w:t>
      </w:r>
      <w:r w:rsidR="00E30FB9" w:rsidRPr="0067039A">
        <w:t>T</w:t>
      </w:r>
      <w:r w:rsidR="00E30FB9" w:rsidRPr="0067039A">
        <w:rPr>
          <w:rFonts w:cs="Arial"/>
          <w:color w:val="202124"/>
          <w:shd w:val="clear" w:color="auto" w:fill="FFFFFF"/>
        </w:rPr>
        <w:t>he survey</w:t>
      </w:r>
      <w:r w:rsidR="00E30FB9">
        <w:rPr>
          <w:rFonts w:cs="Arial"/>
          <w:color w:val="202124"/>
          <w:shd w:val="clear" w:color="auto" w:fill="FFFFFF"/>
        </w:rPr>
        <w:t xml:space="preserve"> </w:t>
      </w:r>
      <w:r w:rsidR="00E30FB9" w:rsidRPr="0067039A">
        <w:rPr>
          <w:rFonts w:cs="Arial"/>
          <w:color w:val="202124"/>
          <w:shd w:val="clear" w:color="auto" w:fill="FFFFFF"/>
        </w:rPr>
        <w:t>report</w:t>
      </w:r>
      <w:r w:rsidR="00E30FB9" w:rsidRPr="00DB68A0">
        <w:rPr>
          <w:rFonts w:cs="Arial"/>
          <w:color w:val="202124"/>
          <w:shd w:val="clear" w:color="auto" w:fill="FFFFFF"/>
        </w:rPr>
        <w:t xml:space="preserve"> </w:t>
      </w:r>
      <w:r w:rsidR="00E30FB9" w:rsidRPr="00F6667D">
        <w:rPr>
          <w:rFonts w:cs="Arial"/>
          <w:color w:val="202124"/>
          <w:shd w:val="clear" w:color="auto" w:fill="FFFFFF"/>
        </w:rPr>
        <w:t>shall</w:t>
      </w:r>
      <w:r w:rsidR="00E30FB9" w:rsidRPr="00DB68A0">
        <w:rPr>
          <w:rFonts w:cs="Arial"/>
          <w:color w:val="202124"/>
          <w:shd w:val="clear" w:color="auto" w:fill="FFFFFF"/>
        </w:rPr>
        <w:t xml:space="preserve"> be prepared </w:t>
      </w:r>
      <w:r w:rsidR="00E30FB9">
        <w:rPr>
          <w:rFonts w:cs="Arial"/>
          <w:color w:val="202124"/>
          <w:shd w:val="clear" w:color="auto" w:fill="FFFFFF"/>
        </w:rPr>
        <w:t xml:space="preserve">by the contractor </w:t>
      </w:r>
      <w:r w:rsidR="00E30FB9" w:rsidRPr="00DB68A0">
        <w:rPr>
          <w:rFonts w:cs="Arial"/>
          <w:color w:val="202124"/>
          <w:shd w:val="clear" w:color="auto" w:fill="FFFFFF"/>
        </w:rPr>
        <w:t>in accordance with SHPO and ASM formatting style</w:t>
      </w:r>
      <w:r w:rsidR="00E30FB9">
        <w:rPr>
          <w:rFonts w:cs="Arial"/>
          <w:color w:val="202124"/>
          <w:shd w:val="clear" w:color="auto" w:fill="FFFFFF"/>
        </w:rPr>
        <w:t xml:space="preserve"> for the Historic Preservation Specialist’s initial review</w:t>
      </w:r>
      <w:r w:rsidR="00E30FB9" w:rsidRPr="00DB68A0">
        <w:rPr>
          <w:rFonts w:cs="Arial"/>
          <w:color w:val="202124"/>
          <w:shd w:val="clear" w:color="auto" w:fill="FFFFFF"/>
        </w:rPr>
        <w:t xml:space="preserve">. </w:t>
      </w:r>
      <w:r w:rsidR="00E30FB9">
        <w:rPr>
          <w:rFonts w:cs="Arial"/>
          <w:color w:val="202124"/>
          <w:shd w:val="clear" w:color="auto" w:fill="FFFFFF"/>
        </w:rPr>
        <w:t xml:space="preserve">After the initial review, the Department </w:t>
      </w:r>
      <w:r w:rsidR="00E30FB9" w:rsidRPr="00DB68A0">
        <w:rPr>
          <w:rFonts w:cs="Arial"/>
          <w:color w:val="202124"/>
          <w:shd w:val="clear" w:color="auto" w:fill="FFFFFF"/>
        </w:rPr>
        <w:t>will</w:t>
      </w:r>
      <w:r w:rsidR="00E30FB9">
        <w:rPr>
          <w:rFonts w:cs="Arial"/>
          <w:color w:val="202124"/>
          <w:shd w:val="clear" w:color="auto" w:fill="FFFFFF"/>
        </w:rPr>
        <w:t xml:space="preserve"> consult with the landowner, SHPO, and Tribes for a minimum of 35 days for the final approval of the survey report.</w:t>
      </w:r>
    </w:p>
    <w:p w:rsidR="00F9635B" w:rsidRDefault="00F9635B" w:rsidP="001E2917">
      <w:pPr>
        <w:tabs>
          <w:tab w:val="left" w:pos="720"/>
          <w:tab w:val="left" w:pos="1267"/>
          <w:tab w:val="left" w:pos="1886"/>
          <w:tab w:val="left" w:pos="2434"/>
          <w:tab w:val="left" w:pos="2880"/>
        </w:tabs>
        <w:jc w:val="both"/>
        <w:rPr>
          <w:rFonts w:cs="Arial"/>
        </w:rPr>
      </w:pPr>
    </w:p>
    <w:p w:rsidR="00F9635B" w:rsidRPr="00302E7B" w:rsidRDefault="00F9635B" w:rsidP="001E2917">
      <w:pPr>
        <w:tabs>
          <w:tab w:val="left" w:pos="720"/>
          <w:tab w:val="left" w:pos="1267"/>
          <w:tab w:val="left" w:pos="1886"/>
          <w:tab w:val="left" w:pos="2434"/>
          <w:tab w:val="left" w:pos="2880"/>
        </w:tabs>
        <w:ind w:left="1886" w:hanging="1886"/>
        <w:jc w:val="both"/>
        <w:rPr>
          <w:rFonts w:cs="Arial"/>
        </w:rPr>
      </w:pPr>
      <w:r>
        <w:rPr>
          <w:rFonts w:cs="Arial"/>
        </w:rPr>
        <w:tab/>
      </w:r>
      <w:r w:rsidR="00C52CB8">
        <w:rPr>
          <w:rFonts w:cs="Arial"/>
        </w:rPr>
        <w:tab/>
      </w:r>
      <w:r w:rsidRPr="00302E7B">
        <w:rPr>
          <w:rFonts w:cs="Arial"/>
        </w:rPr>
        <w:t>(</w:t>
      </w:r>
      <w:r w:rsidR="00171747">
        <w:rPr>
          <w:rFonts w:cs="Arial"/>
        </w:rPr>
        <w:t>O)</w:t>
      </w:r>
      <w:r w:rsidRPr="00302E7B">
        <w:rPr>
          <w:rFonts w:cs="Arial"/>
        </w:rPr>
        <w:tab/>
      </w:r>
      <w:r w:rsidRPr="00761E74">
        <w:rPr>
          <w:rFonts w:cs="Arial"/>
        </w:rPr>
        <w:t xml:space="preserve">A description of the impact on </w:t>
      </w:r>
      <w:r w:rsidR="00E87E4C" w:rsidRPr="00761E74">
        <w:rPr>
          <w:rFonts w:cs="Arial"/>
        </w:rPr>
        <w:t>federally or state protected</w:t>
      </w:r>
      <w:r w:rsidR="00761E74">
        <w:rPr>
          <w:rFonts w:cs="Arial"/>
        </w:rPr>
        <w:t xml:space="preserve"> </w:t>
      </w:r>
      <w:r w:rsidR="00E30FB9" w:rsidRPr="00761E74">
        <w:rPr>
          <w:rFonts w:cs="Arial"/>
        </w:rPr>
        <w:t xml:space="preserve">or </w:t>
      </w:r>
      <w:r w:rsidR="00E26980" w:rsidRPr="00761E74">
        <w:rPr>
          <w:rFonts w:cs="Arial"/>
        </w:rPr>
        <w:t xml:space="preserve">other </w:t>
      </w:r>
      <w:r w:rsidR="00E87E4C" w:rsidRPr="00761E74">
        <w:rPr>
          <w:rFonts w:cs="Arial"/>
        </w:rPr>
        <w:t xml:space="preserve">agency-specific </w:t>
      </w:r>
      <w:r w:rsidR="00E26980" w:rsidRPr="00761E74">
        <w:rPr>
          <w:rFonts w:cs="Arial"/>
        </w:rPr>
        <w:t>special status</w:t>
      </w:r>
      <w:r w:rsidR="00E30FB9" w:rsidRPr="00761E74">
        <w:rPr>
          <w:rFonts w:cs="Arial"/>
        </w:rPr>
        <w:t xml:space="preserve"> </w:t>
      </w:r>
      <w:r w:rsidRPr="00761E74">
        <w:rPr>
          <w:rFonts w:cs="Arial"/>
        </w:rPr>
        <w:t>wildlife and plants and</w:t>
      </w:r>
      <w:r w:rsidR="00761E74">
        <w:rPr>
          <w:rFonts w:cs="Arial"/>
        </w:rPr>
        <w:t xml:space="preserve"> </w:t>
      </w:r>
      <w:r w:rsidRPr="00761E74">
        <w:rPr>
          <w:rFonts w:cs="Arial"/>
        </w:rPr>
        <w:t>their habitat</w:t>
      </w:r>
      <w:r w:rsidR="00E87E4C" w:rsidRPr="00761E74">
        <w:rPr>
          <w:rFonts w:cs="Arial"/>
        </w:rPr>
        <w:t xml:space="preserve">, as defined in ADOT’s consultant biological procedures on </w:t>
      </w:r>
      <w:r w:rsidR="00D50613">
        <w:rPr>
          <w:rFonts w:cs="Arial"/>
        </w:rPr>
        <w:t>the Department</w:t>
      </w:r>
      <w:r w:rsidR="00E87E4C" w:rsidRPr="00761E74">
        <w:rPr>
          <w:rFonts w:cs="Arial"/>
        </w:rPr>
        <w:t>’s website</w:t>
      </w:r>
      <w:r w:rsidRPr="00761E74">
        <w:rPr>
          <w:rFonts w:cs="Arial"/>
        </w:rPr>
        <w:t xml:space="preserve">.  </w:t>
      </w:r>
      <w:r w:rsidRPr="00302E7B">
        <w:rPr>
          <w:rFonts w:cs="Arial"/>
        </w:rPr>
        <w:t>Compliance with the Arizona Native Plant Law shall be coordinated through the Arizona Commission of Agriculture and Horticulture.</w:t>
      </w:r>
    </w:p>
    <w:p w:rsidR="00F9635B" w:rsidRDefault="00F9635B" w:rsidP="001E2917">
      <w:pPr>
        <w:tabs>
          <w:tab w:val="left" w:pos="720"/>
          <w:tab w:val="left" w:pos="1267"/>
          <w:tab w:val="left" w:pos="1886"/>
          <w:tab w:val="left" w:pos="2434"/>
          <w:tab w:val="left" w:pos="2880"/>
        </w:tabs>
        <w:jc w:val="both"/>
        <w:rPr>
          <w:rFonts w:cs="Arial"/>
        </w:rPr>
      </w:pPr>
    </w:p>
    <w:p w:rsidR="00197E6E" w:rsidRPr="00DC0F3E" w:rsidRDefault="00197E6E" w:rsidP="00197E6E">
      <w:pPr>
        <w:tabs>
          <w:tab w:val="left" w:pos="720"/>
          <w:tab w:val="left" w:pos="1267"/>
          <w:tab w:val="left" w:pos="1886"/>
          <w:tab w:val="left" w:pos="2434"/>
          <w:tab w:val="left" w:pos="2880"/>
        </w:tabs>
        <w:ind w:left="1886" w:hanging="1886"/>
        <w:jc w:val="both"/>
      </w:pPr>
      <w:r w:rsidRPr="00DC0F3E">
        <w:rPr>
          <w:b/>
          <w:bCs/>
        </w:rPr>
        <w:t>104.12</w:t>
      </w:r>
      <w:r w:rsidRPr="00DC0F3E">
        <w:tab/>
      </w:r>
      <w:r w:rsidRPr="00DC0F3E">
        <w:tab/>
      </w:r>
      <w:r w:rsidRPr="00DC0F3E">
        <w:rPr>
          <w:b/>
          <w:bCs/>
        </w:rPr>
        <w:t>Environmental Analysis:</w:t>
      </w:r>
      <w:r w:rsidRPr="00DC0F3E">
        <w:t xml:space="preserve">  </w:t>
      </w:r>
      <w:r>
        <w:t xml:space="preserve">the eighth paragraph </w:t>
      </w:r>
      <w:r w:rsidRPr="00DC0F3E">
        <w:t>of the Standard Specifications is revised to read:</w:t>
      </w:r>
    </w:p>
    <w:p w:rsidR="00197E6E" w:rsidRDefault="00197E6E" w:rsidP="001E2917">
      <w:pPr>
        <w:tabs>
          <w:tab w:val="left" w:pos="720"/>
          <w:tab w:val="left" w:pos="1267"/>
          <w:tab w:val="left" w:pos="1886"/>
          <w:tab w:val="left" w:pos="2434"/>
          <w:tab w:val="left" w:pos="2880"/>
        </w:tabs>
        <w:jc w:val="both"/>
        <w:rPr>
          <w:rFonts w:cs="Arial"/>
        </w:rPr>
      </w:pPr>
    </w:p>
    <w:p w:rsidR="00F9635B" w:rsidRDefault="00F9635B" w:rsidP="001E2917">
      <w:pPr>
        <w:tabs>
          <w:tab w:val="left" w:pos="720"/>
          <w:tab w:val="left" w:pos="1267"/>
          <w:tab w:val="left" w:pos="1886"/>
          <w:tab w:val="left" w:pos="2434"/>
          <w:tab w:val="left" w:pos="2880"/>
        </w:tabs>
        <w:jc w:val="both"/>
        <w:rPr>
          <w:rFonts w:cs="Arial"/>
        </w:rPr>
      </w:pPr>
      <w:r w:rsidRPr="00302E7B">
        <w:rPr>
          <w:rFonts w:cs="Arial"/>
        </w:rPr>
        <w:t xml:space="preserve">Guidance </w:t>
      </w:r>
      <w:r w:rsidR="00113726">
        <w:rPr>
          <w:rFonts w:cs="Arial"/>
        </w:rPr>
        <w:t xml:space="preserve">and forms </w:t>
      </w:r>
      <w:r w:rsidR="000F3B5D">
        <w:rPr>
          <w:rFonts w:cs="Arial"/>
        </w:rPr>
        <w:t>for</w:t>
      </w:r>
      <w:r w:rsidR="000F3B5D" w:rsidRPr="00302E7B">
        <w:rPr>
          <w:rFonts w:cs="Arial"/>
        </w:rPr>
        <w:t xml:space="preserve"> </w:t>
      </w:r>
      <w:r w:rsidRPr="00302E7B">
        <w:rPr>
          <w:rFonts w:cs="Arial"/>
        </w:rPr>
        <w:t xml:space="preserve">preparing the environmental analysis </w:t>
      </w:r>
      <w:r w:rsidR="00DA1DF7">
        <w:rPr>
          <w:rFonts w:cs="Arial"/>
        </w:rPr>
        <w:t>are</w:t>
      </w:r>
      <w:r w:rsidR="00DA1DF7" w:rsidRPr="00302E7B">
        <w:rPr>
          <w:rFonts w:cs="Arial"/>
        </w:rPr>
        <w:t xml:space="preserve"> </w:t>
      </w:r>
      <w:r w:rsidRPr="00302E7B">
        <w:rPr>
          <w:rFonts w:cs="Arial"/>
        </w:rPr>
        <w:t xml:space="preserve">available on the Department’s </w:t>
      </w:r>
      <w:r w:rsidR="004D743F">
        <w:rPr>
          <w:rFonts w:cs="Arial"/>
        </w:rPr>
        <w:t>w</w:t>
      </w:r>
      <w:r w:rsidRPr="00302E7B">
        <w:rPr>
          <w:rFonts w:cs="Arial"/>
        </w:rPr>
        <w:t>ebsite through the Environmental Planning Group, or by calling Environmental Planning Group at 602-712-7767.</w:t>
      </w:r>
    </w:p>
    <w:p w:rsidR="0035729D" w:rsidRDefault="0035729D" w:rsidP="001E2917">
      <w:pPr>
        <w:tabs>
          <w:tab w:val="left" w:pos="720"/>
          <w:tab w:val="left" w:pos="1267"/>
          <w:tab w:val="left" w:pos="1886"/>
          <w:tab w:val="left" w:pos="2434"/>
          <w:tab w:val="left" w:pos="2880"/>
        </w:tabs>
        <w:jc w:val="both"/>
        <w:rPr>
          <w:rFonts w:cs="Arial"/>
        </w:rPr>
      </w:pPr>
    </w:p>
    <w:sectPr w:rsidR="0035729D">
      <w:footerReference w:type="default" r:id="rId8"/>
      <w:pgSz w:w="12240" w:h="15840"/>
      <w:pgMar w:top="1440" w:right="1296" w:bottom="1440"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73D2" w:rsidRDefault="002C73D2">
      <w:r>
        <w:separator/>
      </w:r>
    </w:p>
  </w:endnote>
  <w:endnote w:type="continuationSeparator" w:id="0">
    <w:p w:rsidR="002C73D2" w:rsidRDefault="002C7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729D" w:rsidRPr="00854557" w:rsidRDefault="0035729D">
    <w:pPr>
      <w:jc w:val="right"/>
      <w:rPr>
        <w:rFonts w:cs="Arial"/>
        <w:sz w:val="18"/>
        <w:szCs w:val="18"/>
      </w:rPr>
    </w:pPr>
    <w:r w:rsidRPr="00854557">
      <w:rPr>
        <w:rFonts w:cs="Arial"/>
        <w:sz w:val="18"/>
        <w:szCs w:val="18"/>
      </w:rPr>
      <w:t xml:space="preserve">104ENVIR - </w:t>
    </w:r>
    <w:r w:rsidRPr="00854557">
      <w:rPr>
        <w:rStyle w:val="PageNumber"/>
        <w:rFonts w:cs="Arial"/>
        <w:sz w:val="18"/>
        <w:szCs w:val="18"/>
      </w:rPr>
      <w:fldChar w:fldCharType="begin"/>
    </w:r>
    <w:r w:rsidRPr="00854557">
      <w:rPr>
        <w:rStyle w:val="PageNumber"/>
        <w:rFonts w:cs="Arial"/>
        <w:sz w:val="18"/>
        <w:szCs w:val="18"/>
      </w:rPr>
      <w:instrText xml:space="preserve"> PAGE </w:instrText>
    </w:r>
    <w:r w:rsidRPr="00854557">
      <w:rPr>
        <w:rStyle w:val="PageNumber"/>
        <w:rFonts w:cs="Arial"/>
        <w:sz w:val="18"/>
        <w:szCs w:val="18"/>
      </w:rPr>
      <w:fldChar w:fldCharType="separate"/>
    </w:r>
    <w:r w:rsidR="008A15A5">
      <w:rPr>
        <w:rStyle w:val="PageNumber"/>
        <w:rFonts w:cs="Arial"/>
        <w:noProof/>
        <w:sz w:val="18"/>
        <w:szCs w:val="18"/>
      </w:rPr>
      <w:t>1</w:t>
    </w:r>
    <w:r w:rsidRPr="00854557">
      <w:rPr>
        <w:rStyle w:val="PageNumber"/>
        <w:rFonts w:cs="Arial"/>
        <w:sz w:val="18"/>
        <w:szCs w:val="18"/>
      </w:rPr>
      <w:fldChar w:fldCharType="end"/>
    </w:r>
    <w:r w:rsidRPr="00854557">
      <w:rPr>
        <w:rStyle w:val="PageNumber"/>
        <w:rFonts w:cs="Arial"/>
        <w:sz w:val="18"/>
        <w:szCs w:val="18"/>
      </w:rPr>
      <w:t>/</w:t>
    </w:r>
    <w:r w:rsidRPr="00854557">
      <w:rPr>
        <w:rStyle w:val="PageNumber"/>
        <w:rFonts w:cs="Arial"/>
        <w:sz w:val="18"/>
        <w:szCs w:val="18"/>
      </w:rPr>
      <w:fldChar w:fldCharType="begin"/>
    </w:r>
    <w:r w:rsidRPr="00854557">
      <w:rPr>
        <w:rStyle w:val="PageNumber"/>
        <w:rFonts w:cs="Arial"/>
        <w:sz w:val="18"/>
        <w:szCs w:val="18"/>
      </w:rPr>
      <w:instrText xml:space="preserve"> NUMPAGES  \* MERGEFORMAT </w:instrText>
    </w:r>
    <w:r w:rsidRPr="00854557">
      <w:rPr>
        <w:rStyle w:val="PageNumber"/>
        <w:rFonts w:cs="Arial"/>
        <w:sz w:val="18"/>
        <w:szCs w:val="18"/>
      </w:rPr>
      <w:fldChar w:fldCharType="separate"/>
    </w:r>
    <w:r w:rsidR="008A15A5" w:rsidRPr="008A15A5">
      <w:rPr>
        <w:rStyle w:val="PageNumber"/>
        <w:noProof/>
        <w:sz w:val="18"/>
        <w:szCs w:val="18"/>
      </w:rPr>
      <w:t>2</w:t>
    </w:r>
    <w:r w:rsidRPr="00854557">
      <w:rPr>
        <w:rStyle w:val="PageNumber"/>
        <w:rFonts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73D2" w:rsidRDefault="002C73D2">
      <w:r>
        <w:separator/>
      </w:r>
    </w:p>
  </w:footnote>
  <w:footnote w:type="continuationSeparator" w:id="0">
    <w:p w:rsidR="002C73D2" w:rsidRDefault="002C73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706E72"/>
    <w:multiLevelType w:val="hybridMultilevel"/>
    <w:tmpl w:val="F6944202"/>
    <w:lvl w:ilvl="0" w:tplc="FD94B45E">
      <w:start w:val="1"/>
      <w:numFmt w:val="upperLetter"/>
      <w:lvlText w:val="(%1)"/>
      <w:lvlJc w:val="left"/>
      <w:pPr>
        <w:tabs>
          <w:tab w:val="num" w:pos="1440"/>
        </w:tabs>
        <w:ind w:left="1440" w:hanging="720"/>
      </w:pPr>
      <w:rPr>
        <w:rFonts w:hint="default"/>
        <w:u w:val="non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17635F9F"/>
    <w:multiLevelType w:val="hybridMultilevel"/>
    <w:tmpl w:val="3FDC5F1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DDE7AD3"/>
    <w:multiLevelType w:val="hybridMultilevel"/>
    <w:tmpl w:val="B8482FF2"/>
    <w:lvl w:ilvl="0" w:tplc="6F6AC71A">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
    <w:nsid w:val="2790775B"/>
    <w:multiLevelType w:val="hybridMultilevel"/>
    <w:tmpl w:val="7048E7FA"/>
    <w:lvl w:ilvl="0" w:tplc="E4E23E9C">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F637EBB"/>
    <w:multiLevelType w:val="hybridMultilevel"/>
    <w:tmpl w:val="3566059C"/>
    <w:lvl w:ilvl="0" w:tplc="3F5E8AF4">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58AF00C0"/>
    <w:multiLevelType w:val="hybridMultilevel"/>
    <w:tmpl w:val="91A84634"/>
    <w:lvl w:ilvl="0" w:tplc="8DB03A14">
      <w:start w:val="2"/>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5DE15726"/>
    <w:multiLevelType w:val="hybridMultilevel"/>
    <w:tmpl w:val="8F1CAC90"/>
    <w:lvl w:ilvl="0" w:tplc="B6A2F26A">
      <w:start w:val="1"/>
      <w:numFmt w:val="upperLetter"/>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nsid w:val="79D07067"/>
    <w:multiLevelType w:val="hybridMultilevel"/>
    <w:tmpl w:val="A6CE9CDE"/>
    <w:lvl w:ilvl="0" w:tplc="3F8E95E2">
      <w:start w:val="1"/>
      <w:numFmt w:val="upperLetter"/>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3"/>
  </w:num>
  <w:num w:numId="2">
    <w:abstractNumId w:val="7"/>
  </w:num>
  <w:num w:numId="3">
    <w:abstractNumId w:val="2"/>
  </w:num>
  <w:num w:numId="4">
    <w:abstractNumId w:val="1"/>
  </w:num>
  <w:num w:numId="5">
    <w:abstractNumId w:val="0"/>
  </w:num>
  <w:num w:numId="6">
    <w:abstractNumId w:val="6"/>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70A"/>
    <w:rsid w:val="000A5D06"/>
    <w:rsid w:val="000D4784"/>
    <w:rsid w:val="000F3B5D"/>
    <w:rsid w:val="001042F0"/>
    <w:rsid w:val="00113726"/>
    <w:rsid w:val="0014171F"/>
    <w:rsid w:val="00171476"/>
    <w:rsid w:val="00171747"/>
    <w:rsid w:val="00197E6E"/>
    <w:rsid w:val="001D62C8"/>
    <w:rsid w:val="001E0F14"/>
    <w:rsid w:val="001E1658"/>
    <w:rsid w:val="001E2917"/>
    <w:rsid w:val="0020431E"/>
    <w:rsid w:val="00223173"/>
    <w:rsid w:val="00235336"/>
    <w:rsid w:val="00294038"/>
    <w:rsid w:val="002A4E7A"/>
    <w:rsid w:val="002B6A98"/>
    <w:rsid w:val="002C73D2"/>
    <w:rsid w:val="00302E7B"/>
    <w:rsid w:val="0035729D"/>
    <w:rsid w:val="003B639E"/>
    <w:rsid w:val="003C66FE"/>
    <w:rsid w:val="003F2F31"/>
    <w:rsid w:val="003F599A"/>
    <w:rsid w:val="004D743F"/>
    <w:rsid w:val="005B6F40"/>
    <w:rsid w:val="00606F63"/>
    <w:rsid w:val="0064555A"/>
    <w:rsid w:val="00685161"/>
    <w:rsid w:val="006E2BA5"/>
    <w:rsid w:val="00725100"/>
    <w:rsid w:val="00737956"/>
    <w:rsid w:val="00761E74"/>
    <w:rsid w:val="00804E52"/>
    <w:rsid w:val="00834DBA"/>
    <w:rsid w:val="00843615"/>
    <w:rsid w:val="008508FB"/>
    <w:rsid w:val="00854557"/>
    <w:rsid w:val="008863B1"/>
    <w:rsid w:val="008A15A5"/>
    <w:rsid w:val="008B5C35"/>
    <w:rsid w:val="008E5AFA"/>
    <w:rsid w:val="00926AF9"/>
    <w:rsid w:val="0099304C"/>
    <w:rsid w:val="00AC270A"/>
    <w:rsid w:val="00AD7735"/>
    <w:rsid w:val="00B111BC"/>
    <w:rsid w:val="00C426AA"/>
    <w:rsid w:val="00C52CB8"/>
    <w:rsid w:val="00C8614D"/>
    <w:rsid w:val="00D50613"/>
    <w:rsid w:val="00D70622"/>
    <w:rsid w:val="00DA1DF7"/>
    <w:rsid w:val="00DC0F3E"/>
    <w:rsid w:val="00DC31A0"/>
    <w:rsid w:val="00DF7FDA"/>
    <w:rsid w:val="00E0252F"/>
    <w:rsid w:val="00E20815"/>
    <w:rsid w:val="00E26980"/>
    <w:rsid w:val="00E30FB9"/>
    <w:rsid w:val="00E41C8B"/>
    <w:rsid w:val="00E71E94"/>
    <w:rsid w:val="00E87E4C"/>
    <w:rsid w:val="00EF53D2"/>
    <w:rsid w:val="00F22B7A"/>
    <w:rsid w:val="00F44A8A"/>
    <w:rsid w:val="00F9635B"/>
    <w:rsid w:val="00FA7A55"/>
    <w:rsid w:val="00FC32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szCs w:val="24"/>
    </w:rPr>
  </w:style>
  <w:style w:type="paragraph" w:styleId="Heading1">
    <w:name w:val="heading 1"/>
    <w:basedOn w:val="Normal"/>
    <w:next w:val="Normal"/>
    <w:qFormat/>
    <w:pPr>
      <w:keepNext/>
      <w:ind w:right="36"/>
      <w:jc w:val="both"/>
      <w:outlineLvl w:val="0"/>
    </w:pPr>
    <w:rPr>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right="36"/>
      <w:jc w:val="both"/>
    </w:pPr>
  </w:style>
  <w:style w:type="paragraph" w:styleId="BlockText">
    <w:name w:val="Block Text"/>
    <w:basedOn w:val="Normal"/>
    <w:pPr>
      <w:ind w:left="1440" w:right="36" w:hanging="720"/>
      <w:jc w:val="both"/>
    </w:pPr>
  </w:style>
  <w:style w:type="character" w:styleId="Hyperlink">
    <w:name w:val="Hyperlink"/>
    <w:rPr>
      <w:color w:val="0000FF"/>
      <w:u w:val="single"/>
    </w:rPr>
  </w:style>
  <w:style w:type="paragraph" w:styleId="BodyText2">
    <w:name w:val="Body Text 2"/>
    <w:basedOn w:val="Normal"/>
    <w:pPr>
      <w:ind w:right="36"/>
      <w:jc w:val="both"/>
    </w:pPr>
    <w:rPr>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CommentReference">
    <w:name w:val="annotation reference"/>
    <w:rsid w:val="00C426AA"/>
    <w:rPr>
      <w:sz w:val="16"/>
      <w:szCs w:val="16"/>
    </w:rPr>
  </w:style>
  <w:style w:type="paragraph" w:styleId="CommentText">
    <w:name w:val="annotation text"/>
    <w:basedOn w:val="Normal"/>
    <w:link w:val="CommentTextChar"/>
    <w:rsid w:val="00C426AA"/>
    <w:rPr>
      <w:sz w:val="20"/>
      <w:szCs w:val="20"/>
    </w:rPr>
  </w:style>
  <w:style w:type="character" w:customStyle="1" w:styleId="CommentTextChar">
    <w:name w:val="Comment Text Char"/>
    <w:link w:val="CommentText"/>
    <w:rsid w:val="00C426AA"/>
    <w:rPr>
      <w:rFonts w:ascii="Arial" w:hAnsi="Arial"/>
    </w:rPr>
  </w:style>
  <w:style w:type="paragraph" w:styleId="CommentSubject">
    <w:name w:val="annotation subject"/>
    <w:basedOn w:val="CommentText"/>
    <w:next w:val="CommentText"/>
    <w:link w:val="CommentSubjectChar"/>
    <w:rsid w:val="00C426AA"/>
    <w:rPr>
      <w:b/>
      <w:bCs/>
    </w:rPr>
  </w:style>
  <w:style w:type="character" w:customStyle="1" w:styleId="CommentSubjectChar">
    <w:name w:val="Comment Subject Char"/>
    <w:link w:val="CommentSubject"/>
    <w:rsid w:val="00C426AA"/>
    <w:rPr>
      <w:rFonts w:ascii="Arial" w:hAnsi="Arial"/>
      <w:b/>
      <w:bCs/>
    </w:rPr>
  </w:style>
  <w:style w:type="paragraph" w:styleId="BalloonText">
    <w:name w:val="Balloon Text"/>
    <w:basedOn w:val="Normal"/>
    <w:link w:val="BalloonTextChar"/>
    <w:rsid w:val="00C426AA"/>
    <w:rPr>
      <w:rFonts w:ascii="Tahoma" w:hAnsi="Tahoma" w:cs="Tahoma"/>
      <w:sz w:val="16"/>
      <w:szCs w:val="16"/>
    </w:rPr>
  </w:style>
  <w:style w:type="character" w:customStyle="1" w:styleId="BalloonTextChar">
    <w:name w:val="Balloon Text Char"/>
    <w:link w:val="BalloonText"/>
    <w:rsid w:val="00C426AA"/>
    <w:rPr>
      <w:rFonts w:ascii="Tahoma" w:hAnsi="Tahoma" w:cs="Tahoma"/>
      <w:sz w:val="16"/>
      <w:szCs w:val="16"/>
    </w:rPr>
  </w:style>
  <w:style w:type="character" w:styleId="Emphasis">
    <w:name w:val="Emphasis"/>
    <w:basedOn w:val="DefaultParagraphFont"/>
    <w:qFormat/>
    <w:rsid w:val="0020431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szCs w:val="24"/>
    </w:rPr>
  </w:style>
  <w:style w:type="paragraph" w:styleId="Heading1">
    <w:name w:val="heading 1"/>
    <w:basedOn w:val="Normal"/>
    <w:next w:val="Normal"/>
    <w:qFormat/>
    <w:pPr>
      <w:keepNext/>
      <w:ind w:right="36"/>
      <w:jc w:val="both"/>
      <w:outlineLvl w:val="0"/>
    </w:pPr>
    <w:rPr>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right="36"/>
      <w:jc w:val="both"/>
    </w:pPr>
  </w:style>
  <w:style w:type="paragraph" w:styleId="BlockText">
    <w:name w:val="Block Text"/>
    <w:basedOn w:val="Normal"/>
    <w:pPr>
      <w:ind w:left="1440" w:right="36" w:hanging="720"/>
      <w:jc w:val="both"/>
    </w:pPr>
  </w:style>
  <w:style w:type="character" w:styleId="Hyperlink">
    <w:name w:val="Hyperlink"/>
    <w:rPr>
      <w:color w:val="0000FF"/>
      <w:u w:val="single"/>
    </w:rPr>
  </w:style>
  <w:style w:type="paragraph" w:styleId="BodyText2">
    <w:name w:val="Body Text 2"/>
    <w:basedOn w:val="Normal"/>
    <w:pPr>
      <w:ind w:right="36"/>
      <w:jc w:val="both"/>
    </w:pPr>
    <w:rPr>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CommentReference">
    <w:name w:val="annotation reference"/>
    <w:rsid w:val="00C426AA"/>
    <w:rPr>
      <w:sz w:val="16"/>
      <w:szCs w:val="16"/>
    </w:rPr>
  </w:style>
  <w:style w:type="paragraph" w:styleId="CommentText">
    <w:name w:val="annotation text"/>
    <w:basedOn w:val="Normal"/>
    <w:link w:val="CommentTextChar"/>
    <w:rsid w:val="00C426AA"/>
    <w:rPr>
      <w:sz w:val="20"/>
      <w:szCs w:val="20"/>
    </w:rPr>
  </w:style>
  <w:style w:type="character" w:customStyle="1" w:styleId="CommentTextChar">
    <w:name w:val="Comment Text Char"/>
    <w:link w:val="CommentText"/>
    <w:rsid w:val="00C426AA"/>
    <w:rPr>
      <w:rFonts w:ascii="Arial" w:hAnsi="Arial"/>
    </w:rPr>
  </w:style>
  <w:style w:type="paragraph" w:styleId="CommentSubject">
    <w:name w:val="annotation subject"/>
    <w:basedOn w:val="CommentText"/>
    <w:next w:val="CommentText"/>
    <w:link w:val="CommentSubjectChar"/>
    <w:rsid w:val="00C426AA"/>
    <w:rPr>
      <w:b/>
      <w:bCs/>
    </w:rPr>
  </w:style>
  <w:style w:type="character" w:customStyle="1" w:styleId="CommentSubjectChar">
    <w:name w:val="Comment Subject Char"/>
    <w:link w:val="CommentSubject"/>
    <w:rsid w:val="00C426AA"/>
    <w:rPr>
      <w:rFonts w:ascii="Arial" w:hAnsi="Arial"/>
      <w:b/>
      <w:bCs/>
    </w:rPr>
  </w:style>
  <w:style w:type="paragraph" w:styleId="BalloonText">
    <w:name w:val="Balloon Text"/>
    <w:basedOn w:val="Normal"/>
    <w:link w:val="BalloonTextChar"/>
    <w:rsid w:val="00C426AA"/>
    <w:rPr>
      <w:rFonts w:ascii="Tahoma" w:hAnsi="Tahoma" w:cs="Tahoma"/>
      <w:sz w:val="16"/>
      <w:szCs w:val="16"/>
    </w:rPr>
  </w:style>
  <w:style w:type="character" w:customStyle="1" w:styleId="BalloonTextChar">
    <w:name w:val="Balloon Text Char"/>
    <w:link w:val="BalloonText"/>
    <w:rsid w:val="00C426AA"/>
    <w:rPr>
      <w:rFonts w:ascii="Tahoma" w:hAnsi="Tahoma" w:cs="Tahoma"/>
      <w:sz w:val="16"/>
      <w:szCs w:val="16"/>
    </w:rPr>
  </w:style>
  <w:style w:type="character" w:styleId="Emphasis">
    <w:name w:val="Emphasis"/>
    <w:basedOn w:val="DefaultParagraphFont"/>
    <w:qFormat/>
    <w:rsid w:val="0020431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627</Words>
  <Characters>3634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Environmental Analyses:</vt:lpstr>
    </vt:vector>
  </TitlesOfParts>
  <Company>ADOT</Company>
  <LinksUpToDate>false</LinksUpToDate>
  <CharactersWithSpaces>4253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Environmental Analyses:</dc:title>
  <dc:creator>Employee</dc:creator>
  <cp:lastModifiedBy>Shiva Sunder</cp:lastModifiedBy>
  <cp:revision>9</cp:revision>
  <cp:lastPrinted>2006-05-12T20:48:00Z</cp:lastPrinted>
  <dcterms:created xsi:type="dcterms:W3CDTF">2021-06-29T21:15:00Z</dcterms:created>
  <dcterms:modified xsi:type="dcterms:W3CDTF">2021-08-02T16:46:00Z</dcterms:modified>
</cp:coreProperties>
</file>